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rPr>
          <w:rFonts w:cs="Arial"/>
          <w:szCs w:val="20"/>
          <w:lang w:val="sr-Latn-RS"/>
        </w:rPr>
      </w:pPr>
      <w:r>
        <w:rPr>
          <w:rFonts w:eastAsia="" w:cs="Arial" w:eastAsiaTheme="minorEastAsia"/>
          <w:b/>
          <w:color w:val="C0504D"/>
          <w:sz w:val="18"/>
          <w:szCs w:val="16"/>
          <w:lang w:val="sr-Latn-RS"/>
        </w:rPr>
        <w:t>VAŽNE INFORMACIJE ZA UGOVARAČA I OSIGURANIKE ZA KOLEKTIVNO OSIGURANJE UČENIKA</w:t>
      </w:r>
    </w:p>
    <w:p>
      <w:pPr>
        <w:pStyle w:val="Normal"/>
        <w:ind w:left="-1134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</w:r>
    </w:p>
    <w:p>
      <w:pPr>
        <w:pStyle w:val="Normal"/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Poslovno ime, pravna forma, sedište i adresa društva za osiguranje</w:t>
      </w:r>
      <w:r>
        <w:rPr>
          <w:rFonts w:cs="Arial"/>
          <w:color w:val="C0504D"/>
          <w:szCs w:val="20"/>
          <w:lang w:val="sr-Latn-RS" w:eastAsia="en-US"/>
        </w:rPr>
        <w:t xml:space="preserve"> </w:t>
      </w:r>
    </w:p>
    <w:p>
      <w:pPr>
        <w:pStyle w:val="Normal"/>
        <w:ind w:left="-993" w:hanging="0"/>
        <w:jc w:val="both"/>
        <w:rPr>
          <w:rFonts w:cs="Arial"/>
          <w:szCs w:val="20"/>
          <w:lang w:val="sr-Latn-RS"/>
        </w:rPr>
      </w:pPr>
      <w:r>
        <w:rPr>
          <w:rFonts w:cs="Arial"/>
          <w:sz w:val="18"/>
          <w:lang w:val="sr-Latn-RS"/>
        </w:rPr>
        <w:t>Akcionarsko društvo za osiguranje GENERALI OSIGURANJE SRBIJA, Beograd, Sedište: Vladimira Popovića 8, 11000 Beograd.</w:t>
      </w:r>
    </w:p>
    <w:p>
      <w:pPr>
        <w:pStyle w:val="Normal"/>
        <w:ind w:left="-993" w:hanging="0"/>
        <w:jc w:val="both"/>
        <w:rPr>
          <w:rFonts w:cs="Arial"/>
          <w:b/>
          <w:b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Uslovi osiguranja i merodavno pravo</w:t>
      </w:r>
    </w:p>
    <w:p>
      <w:pPr>
        <w:pStyle w:val="Normal"/>
        <w:ind w:left="-993" w:hanging="0"/>
        <w:jc w:val="both"/>
        <w:rPr>
          <w:rFonts w:cs="Arial"/>
          <w:color w:val="auto"/>
          <w:sz w:val="18"/>
          <w:lang w:val="sr-Latn-RS"/>
        </w:rPr>
      </w:pPr>
      <w:r>
        <w:rPr>
          <w:rFonts w:cs="Arial"/>
          <w:color w:val="auto"/>
          <w:sz w:val="18"/>
          <w:lang w:val="sr-Latn-RS"/>
        </w:rPr>
        <w:t>Zakon o obligacionim odnosima Republike Srbije, Opšti uslovi za osiguranje lica od posledica nesrećnog slučaja, Posebni uslovi za osiguranje učenika i studenata od posledica nesrećnog slučaja (nezgode). Za sporove iz ugovora o osiguranju nadležan je sud u Beogradu.</w:t>
      </w:r>
    </w:p>
    <w:p>
      <w:pPr>
        <w:pStyle w:val="Normal"/>
        <w:ind w:left="-993" w:hanging="0"/>
        <w:jc w:val="both"/>
        <w:rPr>
          <w:rFonts w:cs="Arial"/>
          <w:b/>
          <w:b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Vreme važenja ugovora</w:t>
      </w:r>
    </w:p>
    <w:p>
      <w:pPr>
        <w:pStyle w:val="Normal"/>
        <w:ind w:left="-993" w:hanging="0"/>
        <w:jc w:val="both"/>
        <w:rPr>
          <w:rFonts w:cs="Arial"/>
          <w:b/>
          <w:b/>
          <w:color w:val="auto"/>
          <w:szCs w:val="20"/>
          <w:lang w:val="sr-Latn-RS"/>
        </w:rPr>
      </w:pPr>
      <w:r>
        <w:rPr>
          <w:rFonts w:cs="Arial"/>
          <w:color w:val="auto"/>
          <w:sz w:val="18"/>
          <w:lang w:val="sr-Latn-RS"/>
        </w:rPr>
        <w:t>Ugovor o osiguranju se zaključuje na određeno vreme za školsku 2019/2020 godinu.</w:t>
      </w:r>
    </w:p>
    <w:p>
      <w:pPr>
        <w:pStyle w:val="Normal"/>
        <w:ind w:left="-993" w:hanging="0"/>
        <w:jc w:val="both"/>
        <w:rPr>
          <w:rFonts w:cs="Arial"/>
          <w:b/>
          <w:b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Rizici pokriveni osiguranjem i isključenja u vezi sa tim rizicima</w:t>
      </w:r>
    </w:p>
    <w:p>
      <w:pPr>
        <w:pStyle w:val="Normal"/>
        <w:ind w:left="-993" w:hanging="0"/>
        <w:jc w:val="both"/>
        <w:rPr>
          <w:rFonts w:cs="Arial"/>
          <w:color w:val="auto"/>
          <w:sz w:val="18"/>
          <w:lang w:val="sr-Latn-RS"/>
        </w:rPr>
      </w:pPr>
      <w:r>
        <w:rPr>
          <w:rFonts w:cs="Arial"/>
          <w:color w:val="auto"/>
          <w:sz w:val="18"/>
          <w:lang w:val="sr-Latn-RS"/>
        </w:rPr>
        <w:t>Ugovorom o osiguranju se mogu zaključiti sledeća pokrića:</w:t>
      </w:r>
    </w:p>
    <w:tbl>
      <w:tblPr>
        <w:tblStyle w:val="TableGrid"/>
        <w:tblW w:w="1063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8080"/>
      </w:tblGrid>
      <w:tr>
        <w:trPr/>
        <w:tc>
          <w:tcPr>
            <w:tcW w:w="25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auto"/>
                <w:sz w:val="18"/>
                <w:lang w:val="sr-Latn-RS"/>
              </w:rPr>
            </w:pPr>
            <w:r>
              <w:rPr>
                <w:rFonts w:cs="Arial"/>
                <w:b/>
                <w:color w:val="auto"/>
                <w:sz w:val="16"/>
                <w:lang w:val="sr-Latn-RS"/>
              </w:rPr>
              <w:t>Pokrića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auto"/>
                <w:sz w:val="18"/>
                <w:lang w:val="sr-Latn-RS"/>
              </w:rPr>
            </w:pPr>
            <w:r>
              <w:rPr>
                <w:rFonts w:cs="Arial"/>
                <w:b/>
                <w:color w:val="auto"/>
                <w:sz w:val="16"/>
                <w:lang w:val="sr-Latn-RS"/>
              </w:rPr>
              <w:t>Isključenja</w:t>
            </w:r>
          </w:p>
        </w:tc>
      </w:tr>
      <w:tr>
        <w:trPr>
          <w:trHeight w:val="313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Trajni Invaliditet</w:t>
            </w:r>
          </w:p>
        </w:tc>
        <w:tc>
          <w:tcPr>
            <w:tcW w:w="8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exact" w:line="180" w:before="0" w:after="120"/>
              <w:jc w:val="center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lsključene su sve obaveze osiguravača, ako je nesrećni slučaj nastao kao posledica: 1. prirodne katastrofe (zemljotresi, poplave i sl.), ratnih događaja, ustanka, terorističkog akta, pobuna, nemira ili nereda u Republici Srbiji ili aktivnog učešća u takvim događajima izvan granica Republike Srbije, kao i usled aktivnog učešća u oružanim akcijama, osim ako je osiguranik u tim događajima učestvovao po svom redovnom zanimanju; 2. pri upravljanju vazdušnim aparatima svih vrsta, plovnim objektima, motornim i drugim vozilima bez propisane službene isprave; 3. usled pokušaja ili izvršenja samoubistva osiguranika; 4. pri pripremanju, pokušaju ili izvršenju krivičnog dela, kao i pri begu posle takve radnje; 5. usled delovanja alkohola ili narkotičkih sredstava na osiguranika; 6. zbog aktivnog učestvovanja u fizičkom obračunu, osim u dokazanom slučaju samoodbrane; 7. kao posledica korišćenja lekova za koji ne postoji dozvola za stavljanje u promet, kao i za ne adekvatno korišćenje leka mimo uputsva za korišćenje;</w:t>
            </w:r>
          </w:p>
        </w:tc>
      </w:tr>
      <w:tr>
        <w:trPr>
          <w:trHeight w:val="285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Smrt usled nezgode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  <w:tr>
        <w:trPr>
          <w:trHeight w:val="307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 xml:space="preserve">Prelom kosti 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  <w:tr>
        <w:trPr>
          <w:trHeight w:val="283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Dnevna naknada za izostanak sa nastave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  <w:tr>
        <w:trPr>
          <w:trHeight w:val="273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Troškovi lečenja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  <w:tr>
        <w:trPr>
          <w:trHeight w:val="263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Bolnički dan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  <w:tr>
        <w:trPr>
          <w:trHeight w:val="213" w:hRule="atLeast"/>
        </w:trPr>
        <w:tc>
          <w:tcPr>
            <w:tcW w:w="255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auto"/>
                <w:sz w:val="16"/>
                <w:lang w:val="sr-Latn-RS"/>
              </w:rPr>
            </w:pPr>
            <w:r>
              <w:rPr>
                <w:rFonts w:cs="Arial"/>
                <w:color w:val="auto"/>
                <w:sz w:val="16"/>
                <w:lang w:val="sr-Latn-RS"/>
              </w:rPr>
              <w:t>Hirurške intervencije</w:t>
            </w:r>
          </w:p>
        </w:tc>
        <w:tc>
          <w:tcPr>
            <w:tcW w:w="8080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cs="Arial"/>
                <w:color w:val="auto"/>
                <w:sz w:val="18"/>
                <w:lang w:val="sr-Latn-RS"/>
              </w:rPr>
            </w:pPr>
            <w:r>
              <w:rPr>
                <w:rFonts w:cs="Arial"/>
                <w:color w:val="auto"/>
                <w:sz w:val="18"/>
                <w:lang w:val="sr-Latn-RS"/>
              </w:rPr>
            </w:r>
          </w:p>
        </w:tc>
      </w:tr>
    </w:tbl>
    <w:p>
      <w:pPr>
        <w:pStyle w:val="Normal"/>
        <w:ind w:left="-993" w:hanging="0"/>
        <w:jc w:val="both"/>
        <w:rPr>
          <w:rFonts w:cs="Arial"/>
          <w:color w:val="auto"/>
          <w:sz w:val="18"/>
          <w:lang w:val="sr-Latn-RS"/>
        </w:rPr>
      </w:pPr>
      <w:r>
        <w:rPr>
          <w:rFonts w:cs="Arial"/>
          <w:color w:val="auto"/>
          <w:sz w:val="18"/>
          <w:lang w:val="sr-Latn-RS"/>
        </w:rPr>
        <w:t>Ako nesrećni slučaj ima za posledicu osiguranikovu prolaznu nesposobnost za pohađanje nastave koja traje najmanje 5 dana, isplaćuje se ugovoreni iznos dnevne naknade za sve dane trajanja privremene nesposobnosti u skladu sa izveštajem lekara, a najviše do 200 dana u toku jedne godine i bez obzira da li je nastupio trajni invaliditet ili ne.</w:t>
      </w:r>
    </w:p>
    <w:p>
      <w:pPr>
        <w:pStyle w:val="Normal"/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Pravo na raskid ugovora i odustanak od ugovora</w:t>
      </w:r>
    </w:p>
    <w:p>
      <w:pPr>
        <w:pStyle w:val="Normal"/>
        <w:spacing w:lineRule="auto" w:line="240"/>
        <w:ind w:left="-993" w:right="-1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Ugovor se ne može jednostrano raskinuti.</w:t>
      </w:r>
    </w:p>
    <w:p>
      <w:pPr>
        <w:pStyle w:val="Normal"/>
        <w:ind w:left="-993" w:hanging="0"/>
        <w:jc w:val="both"/>
        <w:rPr>
          <w:rFonts w:cs="Arial"/>
          <w:b/>
          <w:b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Rok važenja ponude za osiguranje</w:t>
      </w:r>
    </w:p>
    <w:p>
      <w:pPr>
        <w:pStyle w:val="Normal"/>
        <w:tabs>
          <w:tab w:val="clear" w:pos="708"/>
          <w:tab w:val="left" w:pos="0" w:leader="none"/>
        </w:tabs>
        <w:ind w:left="-993" w:hanging="0"/>
        <w:jc w:val="both"/>
        <w:rPr>
          <w:rFonts w:cs="Arial"/>
          <w:b/>
          <w:b/>
          <w:szCs w:val="20"/>
          <w:lang w:val="sr-Latn-RS"/>
        </w:rPr>
      </w:pPr>
      <w:r>
        <w:rPr>
          <w:rFonts w:cs="Arial"/>
          <w:sz w:val="18"/>
          <w:lang w:val="sr-Latn-RS"/>
        </w:rPr>
        <w:t>Ponuda važi osam dana od momenta kada je primljena, osim u slučaju davanja neobavezujuće ponude.</w:t>
      </w:r>
    </w:p>
    <w:p>
      <w:pPr>
        <w:pStyle w:val="Normal"/>
        <w:ind w:left="-993" w:hanging="0"/>
        <w:jc w:val="both"/>
        <w:rPr>
          <w:rFonts w:cs="Arial"/>
          <w:b/>
          <w:b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 xml:space="preserve">Podnošenje zahteva za isplatu osiguranog slučaja i rokovi </w:t>
      </w:r>
    </w:p>
    <w:p>
      <w:pPr>
        <w:pStyle w:val="Normal"/>
        <w:tabs>
          <w:tab w:val="clear" w:pos="708"/>
          <w:tab w:val="left" w:pos="426" w:leader="none"/>
        </w:tabs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CS"/>
        </w:rPr>
        <w:t xml:space="preserve">Korisnik osiguranja je dužan da po nastanku nesrećnog slučaja o obavesti osiguravača u odmah a najkasnije u roku od tri dana i podnese zahtev za isplatu osigurane sume lično i na adresu sedišta osiguravača. </w:t>
      </w:r>
      <w:r>
        <w:rPr>
          <w:rFonts w:cs="Arial"/>
          <w:sz w:val="18"/>
          <w:lang w:val="sr-Latn-RS"/>
        </w:rPr>
        <w:t>Rok za isplatu osigurane sume  je 14 dana od dana prikupljanja kompletne dokumentacije koja se odnosi na dokazivanje nastanka osiguranog slučaja.</w:t>
      </w:r>
    </w:p>
    <w:p>
      <w:pPr>
        <w:pStyle w:val="Normal"/>
        <w:tabs>
          <w:tab w:val="clear" w:pos="708"/>
          <w:tab w:val="left" w:pos="426" w:leader="none"/>
        </w:tabs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 xml:space="preserve">Korisnik osiguranja nema pravo na naknadu troškova angažovanja advokata ukoliko ih bude imao prilikom prijave osiguranog slučaja ili ispunjenja bilo koje druge obaveze ili prava iz ugovora o osiguranju.  </w:t>
      </w:r>
    </w:p>
    <w:p>
      <w:pPr>
        <w:pStyle w:val="Normal"/>
        <w:tabs>
          <w:tab w:val="clear" w:pos="708"/>
          <w:tab w:val="left" w:pos="426" w:leader="none"/>
        </w:tabs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 xml:space="preserve">Potraživanja korisnika osiguranja  iz ugovora o osiguranju zastarevaju u roku od tri godine od prvog kalendarskog dana godine koja sledi godini u kojoj se desio osigurani slučaj. </w:t>
      </w:r>
    </w:p>
    <w:p>
      <w:pPr>
        <w:pStyle w:val="Normal"/>
        <w:ind w:left="-993" w:hanging="0"/>
        <w:jc w:val="both"/>
        <w:rPr>
          <w:rFonts w:cs="Arial"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Način zaštite prava i interesa kod društva za osiguranje</w:t>
      </w:r>
    </w:p>
    <w:p>
      <w:pPr>
        <w:pStyle w:val="Normal"/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Sve prigovore zbog povrede prava ili interesa u vezi sa radom i postupanjem Osiguravača  ili odlučivanjem u vezi sa ugovorom o osiguranju ili njegovim izvršavanjem, klijent može podneti lično ili preko svog zastupnika, odnosno punomoćnika, u pismenoj fomi, na jedan od sledećih načina: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dolaskom u bilo koju prostoriju Osiguravača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 xml:space="preserve">slanjem prigovora poštom na adresu GENERALI OSIGURANJE SRBIJA a.d.o., Beograd, ul. </w:t>
      </w:r>
      <w:r>
        <w:rPr>
          <w:rFonts w:cs="Arial"/>
          <w:sz w:val="16"/>
          <w:lang w:val="sr-Latn-RS"/>
        </w:rPr>
        <w:t>Vladimira Popovića 8</w:t>
      </w:r>
      <w:r>
        <w:rPr>
          <w:rFonts w:cs="Arial"/>
          <w:sz w:val="18"/>
          <w:lang w:val="sr-Latn-RS"/>
        </w:rPr>
        <w:t>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/>
      </w:pPr>
      <w:r>
        <w:rPr>
          <w:rFonts w:cs="Arial"/>
          <w:sz w:val="18"/>
          <w:lang w:val="sr-Latn-RS"/>
        </w:rPr>
        <w:t xml:space="preserve">podnošenjem prigovora na internet stranici </w:t>
      </w:r>
      <w:hyperlink r:id="rId2">
        <w:r>
          <w:rPr>
            <w:rStyle w:val="ListLabel20"/>
            <w:rFonts w:cs="Arial"/>
            <w:lang w:val="sr-Latn-RS"/>
          </w:rPr>
          <w:t>www.generali.rs</w:t>
        </w:r>
      </w:hyperlink>
      <w:r>
        <w:rPr>
          <w:rFonts w:cs="Arial"/>
          <w:sz w:val="18"/>
          <w:lang w:val="sr-Latn-RS"/>
        </w:rPr>
        <w:t>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/>
      </w:pPr>
      <w:r>
        <w:rPr>
          <w:rFonts w:cs="Arial"/>
          <w:sz w:val="18"/>
          <w:lang w:val="sr-Latn-RS"/>
        </w:rPr>
        <w:t xml:space="preserve">slanjem prigovora u elektronskoj formi na imejl adresu </w:t>
      </w:r>
      <w:hyperlink r:id="rId3">
        <w:r>
          <w:rPr>
            <w:rStyle w:val="ListLabel20"/>
            <w:rFonts w:cs="Arial"/>
            <w:lang w:val="sr-Latn-RS"/>
          </w:rPr>
          <w:t>prigovori@generali.rs</w:t>
        </w:r>
      </w:hyperlink>
      <w:r>
        <w:rPr>
          <w:rFonts w:cs="Arial"/>
          <w:sz w:val="18"/>
          <w:lang w:val="sr-Latn-RS"/>
        </w:rPr>
        <w:t>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slanjem prigovora faksom na broj +381 11 711 43 81.</w:t>
      </w:r>
    </w:p>
    <w:p>
      <w:pPr>
        <w:pStyle w:val="Normal"/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Potrebno je da prigovor sadrži sledeće podatke i dokumentaciju: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ime, prezime i adresu podnosioca prigovora (za fizička lica) ili poslovno ime, sedište i ime i prezime zakonskog zastupnika/ovlašćenog lica (za pravna lica);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razlog za prigovor i zahtev podnosioca;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dokaze kojima se potkrepljuju navodi iz prigovora;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datum podnošenja prigovora;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potpis podnosioca prigovora ili njegovog zastupnika ili punomoćnika, osim u slučaju da se prigovor podnosi u elektronskoj formi;</w:t>
      </w:r>
    </w:p>
    <w:p>
      <w:pPr>
        <w:pStyle w:val="ListParagraph"/>
        <w:numPr>
          <w:ilvl w:val="0"/>
          <w:numId w:val="1"/>
        </w:numPr>
        <w:ind w:left="-993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punomoćje za zastupanje ukoliko je prigovor podneo punomoćnik.</w:t>
      </w:r>
    </w:p>
    <w:p>
      <w:pPr>
        <w:pStyle w:val="Normal"/>
        <w:ind w:left="-993" w:hanging="0"/>
        <w:jc w:val="both"/>
        <w:rPr>
          <w:rFonts w:cs="Arial"/>
          <w:szCs w:val="20"/>
          <w:lang w:val="sr-Latn-RS"/>
        </w:rPr>
      </w:pPr>
      <w:r>
        <w:rPr>
          <w:rFonts w:cs="Arial"/>
          <w:sz w:val="18"/>
          <w:lang w:val="sr-Latn-RS"/>
        </w:rPr>
        <w:t>Osiguravač je u obavezi da odgovori na prigovor u roku od 15 dana, osim u posebnim slučajevima iz razloga koji ne zavise od volje Osiguravača, kada se rok može produžiti za najviše 15 dana, o čemu će podnosilac prigovora biti obavešten.</w:t>
      </w:r>
    </w:p>
    <w:p>
      <w:pPr>
        <w:pStyle w:val="Normal"/>
        <w:ind w:left="-993" w:hanging="0"/>
        <w:jc w:val="both"/>
        <w:rPr>
          <w:rFonts w:cs="Arial"/>
          <w:color w:val="C0504D"/>
          <w:szCs w:val="20"/>
          <w:lang w:val="sr-Latn-RS"/>
        </w:rPr>
      </w:pPr>
      <w:r>
        <w:rPr>
          <w:rFonts w:cs="Arial"/>
          <w:b/>
          <w:color w:val="C0504D"/>
          <w:szCs w:val="20"/>
          <w:lang w:val="sr-Latn-RS"/>
        </w:rPr>
        <w:t>Naziv, sedište i adresa organa nadležnog za nadzor nad poslovanjem društva za osiguranje, kao i način zaštite prava i interesa klijenta kod tog organa</w:t>
      </w:r>
    </w:p>
    <w:p>
      <w:pPr>
        <w:pStyle w:val="ListParagraph"/>
        <w:ind w:left="-993" w:hanging="0"/>
        <w:jc w:val="both"/>
        <w:rPr>
          <w:lang w:val="sr-Latn-RS"/>
        </w:rPr>
      </w:pPr>
      <w:r>
        <w:rPr>
          <w:rFonts w:cs="Arial"/>
          <w:sz w:val="18"/>
          <w:lang w:val="sr-Latn-RS"/>
        </w:rPr>
        <w:t>Ukoliko osiguranik nije zadovoljan odgovorom na prigovor, svoja prava može dalje ostvarivati podnošenjem prigovora Narodnoj banci Srbije, sa sedištem u ulici Kralja Petra br. 12, 11000 Beograd i ulici Nemanjina br. 17, 11000 Beograd, kao organu nadležnom za nadzor nad poslovanjem Osiguravača.</w:t>
      </w:r>
    </w:p>
    <w:p>
      <w:pPr>
        <w:pStyle w:val="ListParagraph"/>
        <w:ind w:left="-1134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</w:r>
    </w:p>
    <w:p>
      <w:pPr>
        <w:pStyle w:val="Normal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</w:r>
    </w:p>
    <w:p>
      <w:pPr>
        <w:pStyle w:val="ListParagraph"/>
        <w:ind w:left="-1134" w:hanging="0"/>
        <w:jc w:val="both"/>
        <w:rPr>
          <w:rFonts w:cs="Arial"/>
          <w:sz w:val="18"/>
          <w:lang w:val="sr-Latn-RS"/>
        </w:rPr>
      </w:pPr>
      <w:r>
        <w:rPr>
          <w:rFonts w:cs="Arial"/>
          <w:sz w:val="18"/>
          <w:lang w:val="sr-Latn-RS"/>
        </w:rPr>
        <w:t>______________________________</w:t>
        <w:tab/>
        <w:tab/>
        <w:t xml:space="preserve">                               </w:t>
        <w:tab/>
        <w:t>_____________________________</w:t>
      </w:r>
    </w:p>
    <w:p>
      <w:pPr>
        <w:pStyle w:val="ListParagraph"/>
        <w:ind w:left="-1134" w:firstLine="1134"/>
        <w:jc w:val="both"/>
        <w:rPr/>
      </w:pPr>
      <w:r>
        <w:rPr>
          <w:rFonts w:cs="Arial"/>
          <w:sz w:val="18"/>
          <w:lang w:val="sr-Latn-RS"/>
        </w:rPr>
        <w:t>Mesto i datum</w:t>
        <w:tab/>
        <w:tab/>
        <w:tab/>
        <w:tab/>
        <w:tab/>
        <w:tab/>
        <w:tab/>
        <w:t>Potpis ugovarača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560" w:right="707" w:header="567" w:top="1985" w:footer="414" w:bottom="851" w:gutter="0"/>
      <w:pgNumType w:fmt="decimal"/>
      <w:formProt w:val="false"/>
      <w:titlePg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Regular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1" w:type="dxa"/>
      <w:jc w:val="left"/>
      <w:tblInd w:w="0" w:type="dxa"/>
      <w:tblBorders>
        <w:top w:val="single" w:sz="6" w:space="0" w:color="C21C1D"/>
      </w:tblBorders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256"/>
      <w:gridCol w:w="1814"/>
    </w:tblGrid>
    <w:tr>
      <w:trPr>
        <w:trHeight w:val="907" w:hRule="atLeast"/>
      </w:trPr>
      <w:tc>
        <w:tcPr>
          <w:tcW w:w="7256" w:type="dxa"/>
          <w:tcBorders>
            <w:top w:val="single" w:sz="6" w:space="0" w:color="C21C1D"/>
          </w:tcBorders>
          <w:shd w:fill="auto" w:val="clear"/>
          <w:vAlign w:val="bottom"/>
        </w:tcPr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spacing w:lineRule="exact" w:line="160" w:before="0" w:after="0"/>
            <w:contextualSpacing/>
            <w:rPr>
              <w:rFonts w:eastAsia="MS Mincho"/>
              <w:color w:val="5C5D5F"/>
              <w:sz w:val="12"/>
              <w:szCs w:val="12"/>
            </w:rPr>
          </w:pPr>
          <w:r>
            <w:rPr>
              <w:rFonts w:eastAsia="MS Mincho"/>
              <w:color w:val="5C5D5F"/>
              <w:sz w:val="12"/>
              <w:szCs w:val="12"/>
            </w:rPr>
            <w:t>Akcionarsko društvo za osiguranje GENERALI OSIGURANJE SRBIJA, Beograd, Vladimira Popovića 8</w:t>
          </w:r>
        </w:p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spacing w:lineRule="exact" w:line="160" w:before="0" w:after="0"/>
            <w:contextualSpacing/>
            <w:rPr>
              <w:rFonts w:eastAsia="MS Mincho"/>
              <w:color w:val="5C5D5F"/>
              <w:sz w:val="12"/>
              <w:szCs w:val="12"/>
            </w:rPr>
          </w:pPr>
          <w:r>
            <w:rPr>
              <w:rFonts w:eastAsia="MS Mincho"/>
              <w:color w:val="5C5D5F"/>
              <w:sz w:val="12"/>
              <w:szCs w:val="12"/>
            </w:rPr>
            <w:t>Adresa za prijem pošte: Vladimira Popovića 8, Beograd, Novi Beograd</w:t>
          </w:r>
        </w:p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spacing w:lineRule="exact" w:line="160" w:before="0" w:after="0"/>
            <w:contextualSpacing/>
            <w:rPr>
              <w:rFonts w:eastAsia="MS Mincho"/>
              <w:color w:val="5C5D5F"/>
              <w:sz w:val="12"/>
              <w:szCs w:val="12"/>
            </w:rPr>
          </w:pPr>
          <w:r>
            <w:rPr>
              <w:rFonts w:eastAsia="MS Mincho"/>
              <w:color w:val="5C5D5F"/>
              <w:sz w:val="12"/>
              <w:szCs w:val="12"/>
            </w:rPr>
            <w:t>Matični broj 17198319</w:t>
          </w:r>
        </w:p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spacing w:lineRule="exact" w:line="160" w:before="0" w:after="0"/>
            <w:contextualSpacing/>
            <w:rPr>
              <w:rFonts w:eastAsia="MS Mincho"/>
              <w:color w:val="5C5D5F"/>
              <w:sz w:val="12"/>
              <w:szCs w:val="12"/>
            </w:rPr>
          </w:pPr>
          <w:r>
            <w:rPr>
              <w:rFonts w:eastAsia="MS Mincho"/>
              <w:color w:val="5C5D5F"/>
              <w:sz w:val="12"/>
              <w:szCs w:val="12"/>
            </w:rPr>
            <w:t>PIB 100001175</w:t>
          </w:r>
        </w:p>
        <w:p>
          <w:pPr>
            <w:pStyle w:val="Footer"/>
            <w:spacing w:lineRule="exact" w:line="160"/>
            <w:rPr/>
          </w:pPr>
          <w:r>
            <w:rPr/>
            <w:t>Društvo pripada Generali grupi upisanoj u Registar osiguravajućih grupa Italije koji vodi IVASS</w:t>
          </w:r>
        </w:p>
      </w:tc>
      <w:tc>
        <w:tcPr>
          <w:tcW w:w="1814" w:type="dxa"/>
          <w:tcBorders>
            <w:top w:val="single" w:sz="6" w:space="0" w:color="C21C1D"/>
          </w:tcBorders>
          <w:shd w:fill="auto" w:val="clear"/>
        </w:tcPr>
        <w:p>
          <w:pPr>
            <w:pStyle w:val="Footer"/>
            <w:rPr/>
          </w:pPr>
          <w:r>
            <w:rPr/>
            <w:drawing>
              <wp:anchor behindDoc="1" distT="0" distB="7620" distL="114300" distR="121920" simplePos="0" locked="0" layoutInCell="1" allowOverlap="1" relativeHeight="4">
                <wp:simplePos x="0" y="0"/>
                <wp:positionH relativeFrom="page">
                  <wp:posOffset>522605</wp:posOffset>
                </wp:positionH>
                <wp:positionV relativeFrom="page">
                  <wp:posOffset>94615</wp:posOffset>
                </wp:positionV>
                <wp:extent cx="449580" cy="449580"/>
                <wp:effectExtent l="0" t="0" r="0" b="0"/>
                <wp:wrapNone/>
                <wp:docPr id="3" name="Immagin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7620" distL="114300" distR="118110" simplePos="0" locked="0" layoutInCell="1" allowOverlap="1" relativeHeight="3">
          <wp:simplePos x="0" y="0"/>
          <wp:positionH relativeFrom="column">
            <wp:posOffset>-632460</wp:posOffset>
          </wp:positionH>
          <wp:positionV relativeFrom="page">
            <wp:posOffset>377825</wp:posOffset>
          </wp:positionV>
          <wp:extent cx="910590" cy="734695"/>
          <wp:effectExtent l="0" t="0" r="0" b="0"/>
          <wp:wrapNone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56" w:type="dxa"/>
      <w:jc w:val="left"/>
      <w:tblInd w:w="493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4495"/>
      <w:gridCol w:w="2230"/>
      <w:gridCol w:w="2231"/>
    </w:tblGrid>
    <w:tr>
      <w:trPr>
        <w:trHeight w:val="1210" w:hRule="atLeast"/>
      </w:trPr>
      <w:tc>
        <w:tcPr>
          <w:tcW w:w="4495" w:type="dxa"/>
          <w:tcBorders/>
          <w:shd w:fill="auto" w:val="clear"/>
        </w:tcPr>
        <w:p>
          <w:pPr>
            <w:pStyle w:val="Header"/>
            <w:rPr>
              <w:rStyle w:val="StileGrassetto"/>
            </w:rPr>
          </w:pPr>
          <w:r>
            <w:rPr>
              <w:rStyle w:val="StileGrassetto"/>
            </w:rPr>
            <w:t>Generali Osiguranje Srbija a.d.o.</w:t>
          </w:r>
        </w:p>
        <w:p>
          <w:pPr>
            <w:pStyle w:val="Header"/>
            <w:rPr>
              <w:rStyle w:val="StileGrassetto"/>
              <w:b w:val="false"/>
              <w:b w:val="false"/>
            </w:rPr>
          </w:pPr>
          <w:r>
            <w:rPr>
              <w:rStyle w:val="StileGrassetto"/>
              <w:b w:val="false"/>
            </w:rPr>
            <w:t>Vladimira Popovića 8</w:t>
          </w:r>
        </w:p>
        <w:p>
          <w:pPr>
            <w:pStyle w:val="Header"/>
            <w:rPr>
              <w:rStyle w:val="StileGrassetto"/>
              <w:b w:val="false"/>
              <w:b w:val="false"/>
            </w:rPr>
          </w:pPr>
          <w:r>
            <w:rPr>
              <w:rStyle w:val="StileGrassetto"/>
              <w:b w:val="false"/>
            </w:rPr>
            <w:t>11070 Beograd / Srbija</w:t>
          </w:r>
        </w:p>
        <w:p>
          <w:pPr>
            <w:pStyle w:val="Header"/>
            <w:rPr>
              <w:rStyle w:val="StileGrassetto"/>
              <w:b w:val="false"/>
              <w:b w:val="false"/>
            </w:rPr>
          </w:pPr>
          <w:r>
            <w:rPr>
              <w:rStyle w:val="StileGrassetto"/>
              <w:b w:val="false"/>
            </w:rPr>
            <w:t>T +381.11.222.0.555</w:t>
          </w:r>
        </w:p>
        <w:p>
          <w:pPr>
            <w:pStyle w:val="Header"/>
            <w:rPr>
              <w:rStyle w:val="StileGrassetto"/>
              <w:b w:val="false"/>
              <w:b w:val="false"/>
              <w:lang w:val="en-US"/>
            </w:rPr>
          </w:pPr>
          <w:r>
            <w:rPr>
              <w:rStyle w:val="StileGrassetto"/>
              <w:b w:val="false"/>
              <w:lang w:val="en-US"/>
            </w:rPr>
            <w:t>F +381.11.711.43.81</w:t>
          </w:r>
        </w:p>
        <w:p>
          <w:pPr>
            <w:pStyle w:val="Header"/>
            <w:rPr>
              <w:rStyle w:val="StileGrassetto"/>
              <w:b w:val="false"/>
              <w:b w:val="false"/>
              <w:lang w:val="en-US"/>
            </w:rPr>
          </w:pPr>
          <w:r>
            <w:rPr>
              <w:rStyle w:val="StileGrassetto"/>
              <w:b w:val="false"/>
              <w:lang w:val="en-US"/>
            </w:rPr>
            <w:t>kontakt@generali.rs</w:t>
          </w:r>
        </w:p>
        <w:p>
          <w:pPr>
            <w:pStyle w:val="Header"/>
            <w:rPr>
              <w:rStyle w:val="StileGrassetto"/>
              <w:lang w:val="en-US"/>
            </w:rPr>
          </w:pPr>
          <w:r>
            <w:rPr>
              <w:rStyle w:val="StileGrassetto"/>
              <w:lang w:val="en-US"/>
            </w:rPr>
            <w:t>generali.rs</w:t>
          </w:r>
        </w:p>
      </w:tc>
      <w:tc>
        <w:tcPr>
          <w:tcW w:w="2230" w:type="dxa"/>
          <w:tcBorders/>
          <w:shd w:fill="auto" w:val="clear"/>
        </w:tcPr>
        <w:p>
          <w:pPr>
            <w:pStyle w:val="Header"/>
            <w:rPr>
              <w:lang w:val="en-US"/>
            </w:rPr>
          </w:pPr>
          <w:r>
            <w:rPr>
              <w:lang w:val="en-US"/>
            </w:rPr>
          </w:r>
        </w:p>
      </w:tc>
      <w:tc>
        <w:tcPr>
          <w:tcW w:w="2231" w:type="dxa"/>
          <w:tcBorders/>
          <w:shd w:fill="auto" w:val="clear"/>
        </w:tcPr>
        <w:p>
          <w:pPr>
            <w:pStyle w:val="Header"/>
            <w:jc w:val="right"/>
            <w:rPr/>
          </w:pPr>
          <w:r>
            <w:rPr>
              <w:rFonts w:cs="Arial"/>
            </w:rPr>
            <w:t>ZA (NZ UP 23) 08</w:t>
          </w:r>
          <w:bookmarkStart w:id="0" w:name="_GoBack"/>
          <w:bookmarkEnd w:id="0"/>
          <w:r>
            <w:rPr>
              <w:rFonts w:cs="Arial"/>
            </w:rPr>
            <w:t>-07</w:t>
          </w:r>
        </w:p>
      </w:tc>
    </w:tr>
  </w:tbl>
  <w:p>
    <w:pPr>
      <w:pStyle w:val="Header"/>
      <w:rPr/>
    </w:pPr>
    <w:r>
      <w:rPr/>
      <w:drawing>
        <wp:anchor behindDoc="1" distT="0" distB="7620" distL="114300" distR="118110" simplePos="0" locked="0" layoutInCell="1" allowOverlap="1" relativeHeight="2">
          <wp:simplePos x="0" y="0"/>
          <wp:positionH relativeFrom="column">
            <wp:posOffset>-670560</wp:posOffset>
          </wp:positionH>
          <wp:positionV relativeFrom="page">
            <wp:posOffset>377825</wp:posOffset>
          </wp:positionV>
          <wp:extent cx="910590" cy="734695"/>
          <wp:effectExtent l="0" t="0" r="0" b="0"/>
          <wp:wrapNone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Regular" w:hAnsi="Arial Regular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1" w:semiHidden="0" w:unhideWhenUsed="0" w:qFormat="1"/>
    <w:lsdException w:name="heading 4" w:uiPriority="2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1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2" w:qFormat="1"/>
    <w:lsdException w:name="Intense Reference" w:uiPriority="33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5de"/>
    <w:pPr>
      <w:widowControl w:val="false"/>
      <w:bidi w:val="0"/>
      <w:spacing w:lineRule="exact" w:line="240"/>
      <w:jc w:val="left"/>
    </w:pPr>
    <w:rPr>
      <w:rFonts w:ascii="Arial" w:hAnsi="Arial" w:eastAsia="Times New Roman" w:cs="Times New Roman"/>
      <w:color w:val="000000"/>
      <w:kern w:val="0"/>
      <w:sz w:val="20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1"/>
    <w:qFormat/>
    <w:rsid w:val="006751ea"/>
    <w:pPr>
      <w:keepNext w:val="true"/>
      <w:keepLines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1"/>
    <w:qFormat/>
    <w:rsid w:val="006751ea"/>
    <w:pPr>
      <w:keepNext w:val="true"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6751ea"/>
    <w:pPr>
      <w:keepNext w:val="true"/>
      <w:keepLines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e16882"/>
    <w:pPr>
      <w:keepNext w:val="true"/>
      <w:keepLines/>
      <w:spacing w:before="200" w:after="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6751ea"/>
    <w:pPr>
      <w:keepNext w:val="true"/>
      <w:keepLines/>
      <w:spacing w:before="200" w:after="0"/>
      <w:outlineLvl w:val="4"/>
    </w:pPr>
    <w:rPr/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54db1"/>
    <w:pPr>
      <w:keepNext w:val="true"/>
      <w:keepLines/>
      <w:spacing w:before="200" w:after="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54db1"/>
    <w:pPr>
      <w:keepNext w:val="true"/>
      <w:keepLines/>
      <w:spacing w:before="200" w:after="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db1"/>
    <w:pPr>
      <w:keepNext w:val="true"/>
      <w:keepLines/>
      <w:spacing w:before="200" w:after="0"/>
      <w:outlineLvl w:val="7"/>
    </w:pPr>
    <w:rPr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db1"/>
    <w:pPr>
      <w:keepNext w:val="true"/>
      <w:keepLines/>
      <w:spacing w:before="20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6751e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semiHidden/>
    <w:qFormat/>
    <w:rsid w:val="006751ea"/>
    <w:rPr/>
  </w:style>
  <w:style w:type="character" w:styleId="Heading4Char" w:customStyle="1">
    <w:name w:val="Heading 4 Char"/>
    <w:link w:val="Heading4"/>
    <w:uiPriority w:val="2"/>
    <w:qFormat/>
    <w:rsid w:val="00e16882"/>
    <w:rPr>
      <w:rFonts w:eastAsia="Times New Roman" w:cs="Times New Roman"/>
      <w:bCs/>
      <w:iCs/>
    </w:rPr>
  </w:style>
  <w:style w:type="character" w:styleId="TitleChar" w:customStyle="1">
    <w:name w:val="Title Char"/>
    <w:link w:val="Title"/>
    <w:uiPriority w:val="10"/>
    <w:semiHidden/>
    <w:qFormat/>
    <w:rsid w:val="006751ea"/>
    <w:rPr>
      <w:rFonts w:eastAsia="Times New Roman" w:cs="Times New Roman"/>
      <w:b/>
      <w:smallCaps/>
      <w:spacing w:val="5"/>
      <w:kern w:val="2"/>
      <w:szCs w:val="52"/>
    </w:rPr>
  </w:style>
  <w:style w:type="character" w:styleId="Heading5Char" w:customStyle="1">
    <w:name w:val="Heading 5 Char"/>
    <w:link w:val="Heading5"/>
    <w:uiPriority w:val="2"/>
    <w:qFormat/>
    <w:rsid w:val="00e16882"/>
    <w:rPr>
      <w:rFonts w:eastAsia="Times New Roman" w:cs="Times New Roman"/>
    </w:rPr>
  </w:style>
  <w:style w:type="character" w:styleId="Heading6Char" w:customStyle="1">
    <w:name w:val="Heading 6 Char"/>
    <w:link w:val="Heading6"/>
    <w:uiPriority w:val="2"/>
    <w:semiHidden/>
    <w:qFormat/>
    <w:rsid w:val="00be45f6"/>
    <w:rPr>
      <w:rFonts w:eastAsia="Times New Roman" w:cs="Times New Roman"/>
      <w:iCs/>
    </w:rPr>
  </w:style>
  <w:style w:type="character" w:styleId="Heading7Char" w:customStyle="1">
    <w:name w:val="Heading 7 Char"/>
    <w:link w:val="Heading7"/>
    <w:uiPriority w:val="2"/>
    <w:semiHidden/>
    <w:qFormat/>
    <w:rsid w:val="00be45f6"/>
    <w:rPr>
      <w:rFonts w:eastAsia="Times New Roman" w:cs="Times New Roman"/>
      <w:iCs/>
    </w:rPr>
  </w:style>
  <w:style w:type="character" w:styleId="Heading8Char" w:customStyle="1">
    <w:name w:val="Heading 8 Char"/>
    <w:link w:val="Heading8"/>
    <w:uiPriority w:val="9"/>
    <w:semiHidden/>
    <w:qFormat/>
    <w:rsid w:val="00154db1"/>
    <w:rPr>
      <w:rFonts w:eastAsia="Times New Roman" w:cs="Times New Roman"/>
      <w:szCs w:val="20"/>
    </w:rPr>
  </w:style>
  <w:style w:type="character" w:styleId="Heading9Char" w:customStyle="1">
    <w:name w:val="Heading 9 Char"/>
    <w:link w:val="Heading9"/>
    <w:uiPriority w:val="9"/>
    <w:semiHidden/>
    <w:qFormat/>
    <w:rsid w:val="00154db1"/>
    <w:rPr>
      <w:rFonts w:eastAsia="Times New Roman" w:cs="Times New Roman"/>
      <w:i/>
      <w:iCs/>
      <w:szCs w:val="20"/>
    </w:rPr>
  </w:style>
  <w:style w:type="character" w:styleId="HeaderChar" w:customStyle="1">
    <w:name w:val="Header Char"/>
    <w:link w:val="Header"/>
    <w:uiPriority w:val="99"/>
    <w:qFormat/>
    <w:rsid w:val="006e2872"/>
    <w:rPr>
      <w:rFonts w:ascii="Arial" w:hAnsi="Arial"/>
      <w:color w:val="000000"/>
      <w:sz w:val="14"/>
    </w:rPr>
  </w:style>
  <w:style w:type="character" w:styleId="FooterChar" w:customStyle="1">
    <w:name w:val="Footer Char"/>
    <w:link w:val="Footer"/>
    <w:uiPriority w:val="99"/>
    <w:qFormat/>
    <w:rsid w:val="004f25e7"/>
    <w:rPr>
      <w:rFonts w:ascii="Arial" w:hAnsi="Arial" w:eastAsia="MS Mincho" w:cs="Times New Roman"/>
      <w:color w:val="5C5D5F"/>
      <w:sz w:val="12"/>
      <w:szCs w:val="12"/>
    </w:rPr>
  </w:style>
  <w:style w:type="character" w:styleId="InternetLink">
    <w:name w:val="Internet Link"/>
    <w:uiPriority w:val="99"/>
    <w:unhideWhenUsed/>
    <w:rsid w:val="00425627"/>
    <w:rPr>
      <w:color w:val="C21C1D"/>
      <w:u w:val="single"/>
    </w:rPr>
  </w:style>
  <w:style w:type="character" w:styleId="BoldCarattere" w:customStyle="1">
    <w:name w:val="Bold Carattere"/>
    <w:link w:val="Bold"/>
    <w:qFormat/>
    <w:rsid w:val="00425627"/>
    <w:rPr>
      <w:rFonts w:ascii="Arial" w:hAnsi="Arial"/>
      <w:b/>
      <w:color w:val="000000"/>
      <w:sz w:val="14"/>
    </w:rPr>
  </w:style>
  <w:style w:type="character" w:styleId="BalloonTextChar" w:customStyle="1">
    <w:name w:val="Balloon Text Char"/>
    <w:link w:val="BalloonText"/>
    <w:uiPriority w:val="99"/>
    <w:semiHidden/>
    <w:qFormat/>
    <w:rsid w:val="00425627"/>
    <w:rPr>
      <w:rFonts w:ascii="Tahoma" w:hAnsi="Tahoma" w:cs="Tahoma"/>
      <w:sz w:val="16"/>
      <w:szCs w:val="16"/>
    </w:rPr>
  </w:style>
  <w:style w:type="character" w:styleId="StileGrassetto" w:customStyle="1">
    <w:name w:val="Stile Grassetto"/>
    <w:qFormat/>
    <w:rsid w:val="006879e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570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d25707"/>
    <w:rPr>
      <w:rFonts w:ascii="Calibri" w:hAnsi="Calibri" w:eastAsia="Calibri" w:cs="" w:asciiTheme="minorHAnsi" w:cstheme="minorBidi" w:eastAsiaTheme="minorHAnsi" w:hAnsiTheme="minorHAnsi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72f57"/>
    <w:rPr>
      <w:rFonts w:ascii="Courier New" w:hAnsi="Courier New" w:eastAsia="Calibri" w:cs="Courier New" w:eastAsiaTheme="minorHAnsi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e51f0"/>
    <w:rPr>
      <w:rFonts w:ascii="Arial" w:hAnsi="Arial" w:eastAsia="Calibri" w:cs="" w:cstheme="minorBidi" w:eastAsiaTheme="minorHAnsi"/>
      <w:b/>
      <w:bCs/>
      <w:color w:val="000000"/>
      <w:lang w:val="it-IT" w:eastAsia="it-IT"/>
    </w:rPr>
  </w:style>
  <w:style w:type="character" w:styleId="ListLabel1">
    <w:name w:val="ListLabel 1"/>
    <w:qFormat/>
    <w:rPr>
      <w:color w:val="BD2027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color w:val="FF000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color w:val="FF0000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Arial"/>
      <w:lang w:val="sr-Latn-RS"/>
    </w:rPr>
  </w:style>
  <w:style w:type="character" w:styleId="ListLabel21">
    <w:name w:val="ListLabel 21"/>
    <w:qFormat/>
    <w:rPr>
      <w:rFonts w:cs="Symbol"/>
      <w:sz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Arial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1">
    <w:name w:val="TOC 1"/>
    <w:basedOn w:val="Normal"/>
    <w:next w:val="Normal"/>
    <w:autoRedefine/>
    <w:semiHidden/>
    <w:rsid w:val="006751ea"/>
    <w:pPr>
      <w:tabs>
        <w:tab w:val="clear" w:pos="708"/>
        <w:tab w:val="left" w:pos="425" w:leader="none"/>
        <w:tab w:val="right" w:pos="8505" w:leader="dot"/>
      </w:tabs>
      <w:spacing w:before="80" w:after="40"/>
      <w:ind w:left="425" w:right="425" w:hanging="425"/>
    </w:pPr>
    <w:rPr/>
  </w:style>
  <w:style w:type="paragraph" w:styleId="Contents2">
    <w:name w:val="TOC 2"/>
    <w:basedOn w:val="Normal"/>
    <w:next w:val="Normal"/>
    <w:autoRedefine/>
    <w:semiHidden/>
    <w:rsid w:val="006751ea"/>
    <w:pPr>
      <w:tabs>
        <w:tab w:val="clear" w:pos="708"/>
        <w:tab w:val="left" w:pos="425" w:leader="none"/>
        <w:tab w:val="left" w:pos="851" w:leader="none"/>
        <w:tab w:val="right" w:pos="8505" w:leader="dot"/>
      </w:tabs>
      <w:spacing w:before="30" w:after="20"/>
      <w:ind w:left="850" w:right="425" w:hanging="425"/>
    </w:pPr>
    <w:rPr>
      <w:i/>
    </w:rPr>
  </w:style>
  <w:style w:type="paragraph" w:styleId="Contents3">
    <w:name w:val="TOC 3"/>
    <w:basedOn w:val="Normal"/>
    <w:next w:val="Normal"/>
    <w:autoRedefine/>
    <w:semiHidden/>
    <w:rsid w:val="006751ea"/>
    <w:pPr>
      <w:tabs>
        <w:tab w:val="clear" w:pos="708"/>
        <w:tab w:val="left" w:pos="1418" w:leader="none"/>
        <w:tab w:val="right" w:pos="8505" w:leader="dot"/>
      </w:tabs>
      <w:spacing w:before="20" w:after="20"/>
      <w:ind w:left="1418" w:right="425" w:hanging="567"/>
    </w:pPr>
    <w:rPr>
      <w:sz w:val="21"/>
    </w:rPr>
  </w:style>
  <w:style w:type="paragraph" w:styleId="Footnote">
    <w:name w:val="Footnote Text"/>
    <w:basedOn w:val="Normal"/>
    <w:semiHidden/>
    <w:rsid w:val="000e2410"/>
    <w:pPr/>
    <w:rPr/>
  </w:style>
  <w:style w:type="paragraph" w:styleId="Title">
    <w:name w:val="Title"/>
    <w:basedOn w:val="Normal"/>
    <w:next w:val="Normal"/>
    <w:link w:val="TitleChar"/>
    <w:uiPriority w:val="10"/>
    <w:semiHidden/>
    <w:qFormat/>
    <w:rsid w:val="006751ea"/>
    <w:pPr>
      <w:spacing w:before="0" w:after="0"/>
      <w:contextualSpacing/>
      <w:jc w:val="center"/>
    </w:pPr>
    <w:rPr>
      <w:b/>
      <w:smallCaps/>
      <w:spacing w:val="5"/>
      <w:kern w:val="2"/>
      <w:szCs w:val="52"/>
    </w:rPr>
  </w:style>
  <w:style w:type="paragraph" w:styleId="ListParagraph">
    <w:name w:val="List Paragraph"/>
    <w:basedOn w:val="Normal"/>
    <w:uiPriority w:val="34"/>
    <w:semiHidden/>
    <w:qFormat/>
    <w:rsid w:val="00be45f6"/>
    <w:pPr>
      <w:spacing w:before="0" w:after="0"/>
      <w:ind w:left="720" w:hanging="0"/>
      <w:contextualSpacing/>
    </w:pPr>
    <w:rPr/>
  </w:style>
  <w:style w:type="paragraph" w:styleId="Citazione1" w:customStyle="1">
    <w:name w:val="Citazione1"/>
    <w:basedOn w:val="Normal"/>
    <w:uiPriority w:val="2"/>
    <w:qFormat/>
    <w:rsid w:val="00be45f6"/>
    <w:pPr>
      <w:spacing w:before="240" w:after="0"/>
      <w:ind w:left="709" w:right="709" w:hanging="0"/>
    </w:pPr>
    <w:rPr>
      <w:sz w:val="22"/>
    </w:rPr>
  </w:style>
  <w:style w:type="paragraph" w:styleId="Citazionerientrata" w:customStyle="1">
    <w:name w:val="Citazione rientrata"/>
    <w:basedOn w:val="Citazione1"/>
    <w:uiPriority w:val="2"/>
    <w:qFormat/>
    <w:rsid w:val="00be45f6"/>
    <w:pPr>
      <w:ind w:left="1418" w:right="709" w:hanging="0"/>
    </w:pPr>
    <w:rPr/>
  </w:style>
  <w:style w:type="paragraph" w:styleId="TestoNumerato" w:customStyle="1">
    <w:name w:val="Testo Numerato"/>
    <w:basedOn w:val="Normal"/>
    <w:uiPriority w:val="2"/>
    <w:qFormat/>
    <w:rsid w:val="00be45f6"/>
    <w:pPr/>
    <w:rPr/>
  </w:style>
  <w:style w:type="paragraph" w:styleId="Header">
    <w:name w:val="Header"/>
    <w:basedOn w:val="Normal"/>
    <w:link w:val="HeaderChar"/>
    <w:uiPriority w:val="99"/>
    <w:unhideWhenUsed/>
    <w:qFormat/>
    <w:rsid w:val="006e2872"/>
    <w:pPr>
      <w:tabs>
        <w:tab w:val="clear" w:pos="708"/>
        <w:tab w:val="center" w:pos="4819" w:leader="none"/>
        <w:tab w:val="right" w:pos="9638" w:leader="none"/>
      </w:tabs>
      <w:spacing w:lineRule="exact" w:line="174"/>
    </w:pPr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4f25e7"/>
    <w:pPr>
      <w:tabs>
        <w:tab w:val="clear" w:pos="708"/>
        <w:tab w:val="center" w:pos="4320" w:leader="none"/>
        <w:tab w:val="right" w:pos="8640" w:leader="none"/>
      </w:tabs>
      <w:spacing w:lineRule="exact" w:line="160" w:before="0" w:after="0"/>
      <w:contextualSpacing/>
    </w:pPr>
    <w:rPr>
      <w:rFonts w:eastAsia="MS Mincho"/>
      <w:color w:val="5C5D5F"/>
      <w:sz w:val="12"/>
      <w:szCs w:val="12"/>
    </w:rPr>
  </w:style>
  <w:style w:type="paragraph" w:styleId="Bold" w:customStyle="1">
    <w:name w:val="Bold"/>
    <w:basedOn w:val="Header"/>
    <w:link w:val="BoldCarattere"/>
    <w:qFormat/>
    <w:rsid w:val="00425627"/>
    <w:pPr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5627"/>
    <w:pPr/>
    <w:rPr>
      <w:rFonts w:ascii="Tahoma" w:hAnsi="Tahoma" w:cs="Tahoma"/>
      <w:sz w:val="16"/>
      <w:szCs w:val="16"/>
    </w:rPr>
  </w:style>
  <w:style w:type="paragraph" w:styleId="Testobullet" w:customStyle="1">
    <w:name w:val="testo_bullet"/>
    <w:basedOn w:val="ListParagraph"/>
    <w:autoRedefine/>
    <w:qFormat/>
    <w:rsid w:val="003d51d3"/>
    <w:pPr>
      <w:spacing w:before="240" w:after="240"/>
      <w:ind w:left="714" w:hanging="357"/>
      <w:contextualSpacing/>
    </w:pPr>
    <w:rPr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d25707"/>
    <w:pPr>
      <w:widowControl/>
      <w:spacing w:lineRule="auto" w:line="240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372f57"/>
    <w:pPr>
      <w:widowControl/>
      <w:spacing w:lineRule="auto" w:line="240"/>
    </w:pPr>
    <w:rPr>
      <w:rFonts w:ascii="Courier New" w:hAnsi="Courier New" w:eastAsia="Calibri" w:cs="Courier New" w:eastAsiaTheme="minorHAnsi"/>
      <w:color w:val="auto"/>
      <w:szCs w:val="20"/>
      <w:lang w:val="en-US" w:eastAsia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e51f0"/>
    <w:pPr>
      <w:widowControl w:val="false"/>
      <w:spacing w:before="0" w:after="0"/>
    </w:pPr>
    <w:rPr>
      <w:rFonts w:ascii="Arial" w:hAnsi="Arial" w:eastAsia="Times New Roman" w:cs="Times New Roman"/>
      <w:b/>
      <w:bCs/>
      <w:color w:val="000000"/>
      <w:lang w:val="it-IT" w:eastAsia="it-IT"/>
    </w:rPr>
  </w:style>
  <w:style w:type="paragraph" w:styleId="Revision">
    <w:name w:val="Revision"/>
    <w:uiPriority w:val="99"/>
    <w:semiHidden/>
    <w:qFormat/>
    <w:rsid w:val="00b51965"/>
    <w:pPr>
      <w:widowControl/>
      <w:bidi w:val="0"/>
      <w:jc w:val="left"/>
    </w:pPr>
    <w:rPr>
      <w:rFonts w:ascii="Arial" w:hAnsi="Arial" w:eastAsia="Times New Roman" w:cs="Times New Roman"/>
      <w:color w:val="000000"/>
      <w:kern w:val="0"/>
      <w:sz w:val="20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2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nerali.rs/" TargetMode="External"/><Relationship Id="rId3" Type="http://schemas.openxmlformats.org/officeDocument/2006/relationships/hyperlink" Target="mailto:prigovori@generali.rs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1A2E-C1AC-4658-9086-47C8C593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2</Pages>
  <Words>841</Words>
  <Characters>4955</Characters>
  <CharactersWithSpaces>5773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2019-08-28T08:37:00Z</dcterms:created>
  <dc:creator/>
  <dc:description/>
  <dc:language>en-US</dc:language>
  <cp:lastModifiedBy/>
  <cp:lastPrinted>2019-09-19T14:21:27Z</cp:lastPrinted>
  <dcterms:modified xsi:type="dcterms:W3CDTF">2019-09-19T14:21:40Z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